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B9E2" w14:textId="77777777" w:rsidR="0055195E" w:rsidRPr="0055195E" w:rsidRDefault="0055195E" w:rsidP="0055195E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r w:rsidRPr="0055195E">
        <w:rPr>
          <w:rFonts w:ascii="Invesco Interstate Bold" w:hAnsi="Invesco Interstate Bold"/>
          <w:b/>
          <w:bCs/>
          <w:sz w:val="28"/>
          <w:szCs w:val="28"/>
        </w:rPr>
        <w:t>Rostoucí role aktivních ETF při konstrukci portfolia</w:t>
      </w:r>
    </w:p>
    <w:p w14:paraId="0AF7787E" w14:textId="77777777" w:rsidR="00263C5E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A3B8BFF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Společnost Invesco se domnívá, že aktivně řízené ETF se stávají stále důležitějším mostem mezi tradičními podílovými fondy a pasivními produkty sledujícími indexy. Investorům nabízejí kombinaci flexibility, transparentnosti a systematické konstrukce portfolia.</w:t>
      </w:r>
    </w:p>
    <w:p w14:paraId="6E7AD912" w14:textId="77777777" w:rsidR="001B0A44" w:rsidRPr="001B0A44" w:rsidRDefault="001B0A44" w:rsidP="001B0A44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8968A17" w14:textId="012F0562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Podle Manuel</w:t>
      </w:r>
      <w:r w:rsidR="00404652">
        <w:rPr>
          <w:rFonts w:ascii="Invesco Interstate Light" w:eastAsia="MS Mincho" w:hAnsi="Invesco Interstate Light"/>
          <w:sz w:val="22"/>
          <w:szCs w:val="22"/>
          <w:lang w:eastAsia="ja-JP"/>
        </w:rPr>
        <w:t>y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von Ditfurth, senior portfolio manažerky a vedoucí kvantitativních investičních strategií ve společnosti Invesco, mohou aktivní ETF investorům pomoci překročit rámec čisté replikace indexu a zároveň zachovat mnoho výhod, díky nimž jsou ETF tak populární.</w:t>
      </w:r>
    </w:p>
    <w:p w14:paraId="63E72C74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23C802D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„Tradiční pasivní ETF sledují index jedna ku jedné se všemi jeho silnými stránkami, ale také s riziky koncentrace a tržními deformacemi,“ </w:t>
      </w:r>
      <w:r w:rsidRPr="00404652">
        <w:rPr>
          <w:rFonts w:ascii="Invesco Interstate Light" w:eastAsia="MS Mincho" w:hAnsi="Invesco Interstate Light"/>
          <w:sz w:val="22"/>
          <w:szCs w:val="22"/>
          <w:lang w:eastAsia="ja-JP"/>
        </w:rPr>
        <w:t>uvedla von Ditfurth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. „Aktivní ETF nám dávají možnost se od této čisté tržní replikace vědomě odchýlit. Můžeme zohlednit faktory, jako jsou hodnota, kvalita nebo momentum, řídit rizika, a přitom stále nabízet výhody ETF, jako je obchodovatelnost během tržních hodin, transparentnost a konkurenceschopné náklady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.“</w:t>
      </w:r>
    </w:p>
    <w:p w14:paraId="650C85E7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60E26E0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Společnost Invesco považuje aktivní ETF za zvlášť relevantní pro investory, kteří hledají disciplinovanější a systematičtější přístup k akciovým investicím. Multifaktorové strategie dlouhodobě využívají velcí institucionální investoři, včetně státních investičních fondů, a stále častěji jsou dostupné také investorům do ETF, kteří hledají lepší ochranu proti poklesům, aniž by se museli vzdát dlouhodobého výnosového potenciálu. Firma kombinuje kvantitativní modely s lidským dohledem při sestavování portfolií, která zůstávají diverzifikovaná a zároveň se vyhýbají nadměrné koncentraci do malého počtu akcií.</w:t>
      </w:r>
    </w:p>
    <w:p w14:paraId="07F621C4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Jádrem přístupu Invesca jsou tři klíčové faktory. Ty se snaží zachytit hlavní zdroje výnosů akciových trhů systematičtějším způsobem než tradiční investování do indexů:</w:t>
      </w:r>
    </w:p>
    <w:p w14:paraId="57CF83DF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87A0D23" w14:textId="77777777" w:rsidR="0055195E" w:rsidRPr="0055195E" w:rsidRDefault="0055195E" w:rsidP="0055195E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Hodnota – zaměření na společnosti s atraktivním poměrem ziskovosti k ceně. Tyto firmy bývají trhem často přehlížené, obchodují se za nižší valuace a mohou působit méně atraktivně než rychle rostoucí společnosti. </w:t>
      </w:r>
    </w:p>
    <w:p w14:paraId="4D569C48" w14:textId="77777777" w:rsidR="0055195E" w:rsidRPr="0055195E" w:rsidRDefault="0055195E" w:rsidP="0055195E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Kvalita – důraz na silné rozvahy, stabilitu zisků a profitabilitu. </w:t>
      </w:r>
    </w:p>
    <w:p w14:paraId="0EB64236" w14:textId="77777777" w:rsidR="0055195E" w:rsidRDefault="0055195E" w:rsidP="0055195E">
      <w:pPr>
        <w:numPr>
          <w:ilvl w:val="0"/>
          <w:numId w:val="43"/>
        </w:num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Momentum – identifikace akcií s pozitivním cenovým trendem, který může přetrvávat. Tyto strategie vycházejí z předpokladu, že společnosti se slušným relativním vývojem ceny akcií v předchozích šesti až dvanácti měsících, mohou v blízké době pokračovat v nadvýkonnosti. </w:t>
      </w:r>
    </w:p>
    <w:p w14:paraId="3C5FC45E" w14:textId="77777777" w:rsidR="0055195E" w:rsidRPr="0055195E" w:rsidRDefault="0055195E" w:rsidP="0055195E">
      <w:pPr>
        <w:spacing w:line="360" w:lineRule="auto"/>
        <w:ind w:left="720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116D31C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Tyto faktory jsou dobře zdokumentovány v akademické literatuře a dlouhodobě se ukazují jako významné pro riziko a výnos,“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uvedla von Ditfurth.</w:t>
      </w:r>
    </w:p>
    <w:p w14:paraId="455F9B99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3AD8334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Podle Invesca může faktorové investování pomoci snížit část koncentračních rizik, která se objevila v tradičních indexech vážených tržní kapitalizací, kde může výkon ovlivňovat relativně malý počet velkých technologických akcií. Kombinací faktorů hodnoty, kvality a momenta se multifaktorová portfolia snaží nabídnout vyváženější expozici napříč různými tržními prostředími.</w:t>
      </w:r>
    </w:p>
    <w:p w14:paraId="7B4DE613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28F5E47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Kvantitativní proces Invesca je navržen tak, aby nebyl prediktivní. Modely jsou stavěny na omezeném počtu osvědčených faktorů a testovány v různých tržních prostředích i regionech. Firma se vyhýbá neustálým změnám metodiky v reakci na krátkodobé pohyby trhu.</w:t>
      </w:r>
    </w:p>
    <w:p w14:paraId="335CF275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56CFD81" w14:textId="18251B74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Kvantitativní přístupy také nejsou žádná věštírna, ale jsou extrémně zodpovědné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,“ </w:t>
      </w:r>
      <w:r w:rsidR="00404652">
        <w:rPr>
          <w:rFonts w:ascii="Invesco Interstate Light" w:eastAsia="MS Mincho" w:hAnsi="Invesco Interstate Light"/>
          <w:sz w:val="22"/>
          <w:szCs w:val="22"/>
          <w:lang w:eastAsia="ja-JP"/>
        </w:rPr>
        <w:t>říká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von Ditfurth. 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Model se neunaví, nepodléhá výkyvům nálad a nezamiluje se do každého módního trendu.“</w:t>
      </w:r>
      <w:r w:rsidR="00404652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Přestože je investiční proces založen na pravidlech, Invesco zdůrazňuje, že lidský dozor zůstává nezbytný. Portfolio manažeři definují limity diverzifikace, rozsahy tracking erroru a odchylek od benchmarku a zároveň sledují neobvyklé tržní podmínky, problémy s daty nebo mimořádná rizika.</w:t>
      </w:r>
    </w:p>
    <w:p w14:paraId="78311F30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D6C13A6" w14:textId="4145870C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Invesco rovněž klade velký důraz na transparentnost. Von Ditfurth popisuje aktivní ETF jako „extrémně transparentní“ a upozorňuje, že investoři mohou vidět složení portfolia a jasně pochopit, jak jsou řízeny faktorové expozice a odchylky od benchmarku.</w:t>
      </w:r>
      <w:r w:rsidR="00404652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Záměrně nevytváříme produkty typu black box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,“ uvedla. 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Poradci mohou klientům jasně vysvětlit, jaké expozice nakupují a jak se portfolio chová ve srovnání s trhem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.“</w:t>
      </w:r>
    </w:p>
    <w:p w14:paraId="44B4897D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63A8845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Důležitou součástí nabídky aktivních ETF společnosti Invesco je také udržitelnost. Jeden z největších aktivních ETF fondů Invesca uplatňuje přísná kritéria udržitelnosti, včetně standardů odpovídajících Austrian Ecolabel.</w:t>
      </w:r>
    </w:p>
    <w:p w14:paraId="2E8A850D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praxi Invesco začíná s globálním investičním univerzem přibližně 4 000 akcií a zhruba polovinu z nich vyřazuje na základě kritérií udržitelnosti. Na zbývající společnosti je následně aplikován přístup best-in-class, 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>kdy jsou v každém odvětví vybírány nejudržitelnější společnosti, než je finální portfolio optimalizováno pomocí multifaktorového procesu.</w:t>
      </w:r>
    </w:p>
    <w:p w14:paraId="155054EB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31F103A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Podle von Ditfurth se tento přístup liší od tradičních ESG benchmarků, protože počáteční screening udržitelnosti vyřazuje celé sektory nebo obchodní modely ještě před samotným výběrem best-in-class.</w:t>
      </w:r>
    </w:p>
    <w:p w14:paraId="29BE4602" w14:textId="0C293E2D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Ehrard Radatz, globální šéf portfolio managementu</w:t>
      </w:r>
      <w:r w:rsidR="00404652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="00404652"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Quantitative Strategies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 Invesc</w:t>
      </w:r>
      <w:r w:rsidR="00404652">
        <w:rPr>
          <w:rFonts w:ascii="Invesco Interstate Light" w:eastAsia="MS Mincho" w:hAnsi="Invesco Interstate Light"/>
          <w:sz w:val="22"/>
          <w:szCs w:val="22"/>
          <w:lang w:eastAsia="ja-JP"/>
        </w:rPr>
        <w:t>u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, uvedl, že přístup firmy k aktivním ETF vychází ze stejných principů, jaké používají někteří z největších institucionálních investorů na světě.</w:t>
      </w:r>
    </w:p>
    <w:p w14:paraId="51BD0618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3907267" w14:textId="03E032CA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N</w:t>
      </w:r>
      <w:r w:rsid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apříklad n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orský vládní penzijní fond usiluje o širokou diverzifikaci. Nesází na jednotlivé cenné papíry a snaží se využívat rizikové faktory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,“ uvedl Radatz. 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My přijímáme stejnou kvantitativní investiční strategii a zpřístupňujeme ji retailovým investorům prostřednictvím aktivního ETF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.“</w:t>
      </w:r>
    </w:p>
    <w:p w14:paraId="165AFA10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7818B52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Podle Radatze využívají institucionální investoři faktorové investování již desítky let, protože poskytuje diverzifikovanou expozici vůči různým zdrojům výnosů, místo spoléhání se na výběr jednotlivých akcií.</w:t>
      </w:r>
    </w:p>
    <w:p w14:paraId="1FCAA195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Opět zdůraznil faktory jako kvalitu, hodnotu a momentum jako tři hlavní body využívané společností Invesco. Kvalita upřednostňuje společnosti se silnými rozvahami a vysokou profitabilitou. Hodnota se zaměřuje na levnější akcie s atraktivními současnými zisky, zatímco momentum se snaží zachytit déletrvající tržní trendy.</w:t>
      </w:r>
    </w:p>
    <w:p w14:paraId="3BA58DF9" w14:textId="77777777" w:rsidR="0055195E" w:rsidRPr="00404652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Tyto tři rizikové faktory vykazují velmi zajímavé charakteristiky, protože jsou do značné míry nekorelované,“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uvedl Radatz. 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To umožňuje jejich kombinaci v diverzifikovaném portfoliu, které může zůstat odolné v různých tržních prostředích.“</w:t>
      </w:r>
    </w:p>
    <w:p w14:paraId="6D698F1C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9444FD0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Radatz poznamenal, že faktorová portfolia mohou být obzvlášť efektivní během inflačních období nebo tržních šoků. V roce 2022, kdy globální akciové trhy čelily obtížím, překonaly hodnotově orientované společnosti se silnými současnými zisky a dividendami řadu růstových titulů, jejichž budoucí zisky se staly méně atraktivními v prostředí rostoucích úrokových sazeb.</w:t>
      </w:r>
    </w:p>
    <w:p w14:paraId="036BDA86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CB6CDE8" w14:textId="77777777" w:rsidR="0055195E" w:rsidRPr="00404652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Zdůraznil také, že Invesco neprovádí výrazné taktické změny v reakci na krátkodobé události. 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„Náš přístup může působit nudně, ale vychází z principu, že portfolio neměníme v případě šoku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,“ uvedl Radatz. 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Naše portfolio je navrženo tak, aby bylo robustní a odolalo různým tržním podmínkám, včetně vysoké inflace nebo stagflace.“</w:t>
      </w:r>
    </w:p>
    <w:p w14:paraId="4743599C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C0613F8" w14:textId="77777777" w:rsid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Do budoucna Invesco očekává, že aktivní ETF budou v příštích pěti letech hrát v odvětví mnohem větší roli. Pasivní ETF podle společnosti zůstanou hlavním stavebním prvkem mnoha portfolií, zatímco tradiční aktivně řízené fondy si zachovají význam v okrajových nebo méně likvidních segmentech trhu. Aktivní ETF však mají získávat podíl na trhu zejména v široce diverzifikovaných, systematických akciových strategiích, kde jsou stále důležitější nákladová efektivita, transparentnost a flexibilita.</w:t>
      </w:r>
    </w:p>
    <w:p w14:paraId="6DF6A9AE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039175E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V některých segmentech dojde k vytlačování, v jiných se budou produkty doplňova</w:t>
      </w:r>
      <w:r w:rsidRPr="0055195E">
        <w:rPr>
          <w:rFonts w:ascii="Invesco Interstate Light" w:eastAsia="MS Mincho" w:hAnsi="Invesco Interstate Light"/>
          <w:sz w:val="22"/>
          <w:szCs w:val="22"/>
          <w:lang w:eastAsia="ja-JP"/>
        </w:rPr>
        <w:t>t,“ uvedla von Ditfurth. „</w:t>
      </w:r>
      <w:r w:rsidRPr="00404652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Je důležité, aby společnosti nabízely obojí a jasně vysvětlovaly, k čemu je který investiční nástroj vhodný.“</w:t>
      </w:r>
    </w:p>
    <w:p w14:paraId="794237CD" w14:textId="77777777" w:rsidR="0055195E" w:rsidRPr="0055195E" w:rsidRDefault="0055195E" w:rsidP="005519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35CD37F7" w:rsidR="00497B07" w:rsidRPr="00B96402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>O společnosti Invesco</w:t>
      </w:r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Invesco Asset Management Deutschland GmbH, Invesco Asset Management Österreich – pobočka pobočky Invesco Asset Management Deutschland GmbH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>jsou součástí Invesco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 případě jakýchkoli dotazů nebo potřeby dalších informací se obraťte na společnost Invesco Asset Management Deutschland GmbH, Valentin Jakubow,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Vydavatelem těchto informací v České republice je společnost Invesco Asset Management Deutschland GmbH, An der Welle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r w:rsidRPr="000E12B4">
        <w:rPr>
          <w:rFonts w:ascii="Invesco Interstate Light" w:hAnsi="Invesco Interstate Light"/>
          <w:sz w:val="22"/>
          <w:szCs w:val="22"/>
        </w:rPr>
        <w:t>Red Oak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lastRenderedPageBreak/>
        <w:t>gsm: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1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2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067B" w14:textId="77777777" w:rsidR="00AA3F28" w:rsidRDefault="00AA3F28">
      <w:r>
        <w:separator/>
      </w:r>
    </w:p>
  </w:endnote>
  <w:endnote w:type="continuationSeparator" w:id="0">
    <w:p w14:paraId="5852B1BA" w14:textId="77777777" w:rsidR="00AA3F28" w:rsidRDefault="00AA3F28">
      <w:r>
        <w:continuationSeparator/>
      </w:r>
    </w:p>
  </w:endnote>
  <w:endnote w:type="continuationNotice" w:id="1">
    <w:p w14:paraId="7BF4596A" w14:textId="77777777" w:rsidR="00AA3F28" w:rsidRDefault="00AA3F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4078" w14:textId="77777777" w:rsidR="00AA3F28" w:rsidRDefault="00AA3F28">
      <w:r>
        <w:separator/>
      </w:r>
    </w:p>
  </w:footnote>
  <w:footnote w:type="continuationSeparator" w:id="0">
    <w:p w14:paraId="66B716F3" w14:textId="77777777" w:rsidR="00AA3F28" w:rsidRDefault="00AA3F28">
      <w:r>
        <w:continuationSeparator/>
      </w:r>
    </w:p>
  </w:footnote>
  <w:footnote w:type="continuationNotice" w:id="1">
    <w:p w14:paraId="0B7F975C" w14:textId="77777777" w:rsidR="00AA3F28" w:rsidRDefault="00AA3F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>Press release</w:t>
    </w:r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60C16758" w:rsidR="00702C33" w:rsidRPr="000730A6" w:rsidRDefault="00263C5E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  <w:r w:rsidR="0055195E">
      <w:rPr>
        <w:color w:val="000000"/>
        <w:sz w:val="28"/>
        <w:szCs w:val="28"/>
      </w:rPr>
      <w:t>4</w:t>
    </w:r>
    <w:r w:rsidR="0083625E">
      <w:rPr>
        <w:color w:val="000000"/>
        <w:sz w:val="28"/>
        <w:szCs w:val="28"/>
      </w:rPr>
      <w:t>.</w:t>
    </w:r>
    <w:r w:rsidR="0055195E">
      <w:rPr>
        <w:color w:val="000000"/>
        <w:sz w:val="28"/>
        <w:szCs w:val="28"/>
      </w:rPr>
      <w:t>4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6D18"/>
    <w:multiLevelType w:val="multilevel"/>
    <w:tmpl w:val="FC0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30B23"/>
    <w:multiLevelType w:val="multilevel"/>
    <w:tmpl w:val="11820CCE"/>
    <w:numStyleLink w:val="FormatvorlageAufgezhlt"/>
  </w:abstractNum>
  <w:abstractNum w:abstractNumId="22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03C3"/>
    <w:multiLevelType w:val="multilevel"/>
    <w:tmpl w:val="11820CCE"/>
    <w:numStyleLink w:val="FormatvorlageAufgezhlt"/>
  </w:abstractNum>
  <w:abstractNum w:abstractNumId="32" w15:restartNumberingAfterBreak="0">
    <w:nsid w:val="6C6C4721"/>
    <w:multiLevelType w:val="multilevel"/>
    <w:tmpl w:val="11820CCE"/>
    <w:numStyleLink w:val="FormatvorlageAufgezhlt"/>
  </w:abstractNum>
  <w:abstractNum w:abstractNumId="33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5380B"/>
    <w:multiLevelType w:val="multilevel"/>
    <w:tmpl w:val="11820CCE"/>
    <w:numStyleLink w:val="FormatvorlageAufgezhlt"/>
  </w:abstractNum>
  <w:abstractNum w:abstractNumId="36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7"/>
  </w:num>
  <w:num w:numId="3" w16cid:durableId="1282105589">
    <w:abstractNumId w:val="28"/>
  </w:num>
  <w:num w:numId="4" w16cid:durableId="1617441895">
    <w:abstractNumId w:val="18"/>
  </w:num>
  <w:num w:numId="5" w16cid:durableId="1267425896">
    <w:abstractNumId w:val="21"/>
  </w:num>
  <w:num w:numId="6" w16cid:durableId="1792238606">
    <w:abstractNumId w:val="31"/>
  </w:num>
  <w:num w:numId="7" w16cid:durableId="190919629">
    <w:abstractNumId w:val="32"/>
  </w:num>
  <w:num w:numId="8" w16cid:durableId="2083285618">
    <w:abstractNumId w:val="1"/>
  </w:num>
  <w:num w:numId="9" w16cid:durableId="1653213567">
    <w:abstractNumId w:val="35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1"/>
  </w:num>
  <w:num w:numId="14" w16cid:durableId="2009676695">
    <w:abstractNumId w:val="42"/>
  </w:num>
  <w:num w:numId="15" w16cid:durableId="1629623239">
    <w:abstractNumId w:val="27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30"/>
  </w:num>
  <w:num w:numId="19" w16cid:durableId="832065860">
    <w:abstractNumId w:val="33"/>
  </w:num>
  <w:num w:numId="20" w16cid:durableId="667943464">
    <w:abstractNumId w:val="39"/>
  </w:num>
  <w:num w:numId="21" w16cid:durableId="225343112">
    <w:abstractNumId w:val="37"/>
  </w:num>
  <w:num w:numId="22" w16cid:durableId="1319532336">
    <w:abstractNumId w:val="13"/>
  </w:num>
  <w:num w:numId="23" w16cid:durableId="1341154147">
    <w:abstractNumId w:val="26"/>
  </w:num>
  <w:num w:numId="24" w16cid:durableId="796413596">
    <w:abstractNumId w:val="19"/>
  </w:num>
  <w:num w:numId="25" w16cid:durableId="2010979537">
    <w:abstractNumId w:val="40"/>
  </w:num>
  <w:num w:numId="26" w16cid:durableId="951936802">
    <w:abstractNumId w:val="24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6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3"/>
  </w:num>
  <w:num w:numId="34" w16cid:durableId="511531335">
    <w:abstractNumId w:val="20"/>
  </w:num>
  <w:num w:numId="35" w16cid:durableId="1821118983">
    <w:abstractNumId w:val="22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8"/>
  </w:num>
  <w:num w:numId="39" w16cid:durableId="1411855782">
    <w:abstractNumId w:val="29"/>
  </w:num>
  <w:num w:numId="40" w16cid:durableId="1680741308">
    <w:abstractNumId w:val="4"/>
  </w:num>
  <w:num w:numId="41" w16cid:durableId="1307934230">
    <w:abstractNumId w:val="25"/>
  </w:num>
  <w:num w:numId="42" w16cid:durableId="1547260435">
    <w:abstractNumId w:val="34"/>
  </w:num>
  <w:num w:numId="43" w16cid:durableId="1504779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652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195E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0F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538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3F28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BE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51FF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D7BA5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CF1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E7535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ka.krohova@crestco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</cp:lastModifiedBy>
  <cp:revision>2</cp:revision>
  <cp:lastPrinted>2021-02-17T20:24:00Z</cp:lastPrinted>
  <dcterms:created xsi:type="dcterms:W3CDTF">2026-04-24T08:09:00Z</dcterms:created>
  <dcterms:modified xsi:type="dcterms:W3CDTF">2026-04-24T08:09:00Z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